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8168" w14:textId="5D4CC683" w:rsidR="002D3DC6" w:rsidRDefault="009A3677" w:rsidP="009A3677">
      <w:pPr>
        <w:pStyle w:val="Heading2"/>
      </w:pPr>
      <w:r>
        <w:t>T-SEDA in the Camtree Library</w:t>
      </w:r>
    </w:p>
    <w:p w14:paraId="698C9B66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Konteh, Maliki (2025)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Using oracy to improve disadvantaged student attitudes, engagement, and reasoning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6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https://hdl.handle.net/20.500.14069/898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Kingdom]</w:t>
      </w:r>
    </w:p>
    <w:p w14:paraId="52327E1B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Morrison, Holly; Evans, Rosanna; Strawbridge, Jacqui (2025)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Finders keepers? Exploring reasoning and respectful challenge in museum-based dialogue with primary students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7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https://hdl.handle.net/20.500.14069/995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Kingdom]</w:t>
      </w:r>
    </w:p>
    <w:p w14:paraId="761CBAC8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Boissard, Bénédicte; Audet, Geneviève (2024)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Can whole class discussion effectively prompt self-reflection on personal opinions? A T-SEDA inquiry in Québec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8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https://hdl.handle.net/20.500.14069/446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[Canada]</w:t>
      </w:r>
    </w:p>
    <w:p w14:paraId="473676DA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Wazzan, Mohammad Musaab (2024)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Supporting EFL Classroom Interaction with a Dialogic Coding Framework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9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https://hdl.handle.net/20.500.14069/778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[Turkey]</w:t>
      </w:r>
    </w:p>
    <w:p w14:paraId="0F7A6E21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Boissard, Bénédicte; Bellefleur, Mélanie; Fleury, Patricia (2023)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T-SEDA trial in a French-speaking context: setting up educational dialogue in secondary 4 Québec-Canada history courses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0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https://hdl.handle.net/20.500.14069/44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[Canada]</w:t>
      </w:r>
    </w:p>
    <w:p w14:paraId="66DF8ECD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Feliciani, Karolyn (2023)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How can microblogging be used to facilitate an online community of practice and increase dialogic thinking?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1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https://hdl.handle.net/20.500.14069/43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[Pakistan]</w:t>
      </w:r>
    </w:p>
    <w:p w14:paraId="29762BC3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Connolly, Liam (2022)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Developing meaningful child-led class discussions: centring children in classroom dialogue to motivate learning and encourage oracy development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2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https://hdl.handle.net/20.500.14069/32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Kingdom]</w:t>
      </w:r>
    </w:p>
    <w:p w14:paraId="357990C9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West, Rachel (2022)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How might explicitly increasing the use of dialogic approaches affect whole-group dialogue in virtual teacher professional development session run for an international examination board?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3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https://hdl.handle.net/20.500.14069/41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States of America]</w:t>
      </w:r>
    </w:p>
    <w:p w14:paraId="13B44AA9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Whittington, Lucy (2021)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In what ways does dialogic listening impact the ability to sustain dialogue?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4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https://hdl.handle.net/20.500.14069/21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Kingdom]</w:t>
      </w:r>
    </w:p>
    <w:p w14:paraId="06A0EE7E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Maas, Francine (2021)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How can critical thinking best be developed in adolescents through a dialogic classroom approach?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5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https://hdl.handle.net/20.500.14069/22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Kingdom]</w:t>
      </w:r>
    </w:p>
    <w:p w14:paraId="66EA1AFB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Monks, Julia (2021)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Helping children of different abilities to explain their reasoning and build on ideas in mathematics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6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https://hdl.handle.net/20.500.14069/20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Kingdom]</w:t>
      </w:r>
    </w:p>
    <w:p w14:paraId="3E1A0CC4" w14:textId="77777777" w:rsidR="009A3677" w:rsidRPr="009A3677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proofErr w:type="spellStart"/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lastRenderedPageBreak/>
        <w:t>Breward</w:t>
      </w:r>
      <w:proofErr w:type="spellEnd"/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 xml:space="preserve"> Butler, Jacob (2021)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How do physics students respond to a more dialogic approach?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7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https://hdl.handle.net/20.500.14069/14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Kingdom]</w:t>
      </w:r>
    </w:p>
    <w:p w14:paraId="2460C589" w14:textId="34ABBB2C" w:rsidR="009A3677" w:rsidRPr="00401E11" w:rsidRDefault="009A3677" w:rsidP="009A3677">
      <w:pPr>
        <w:spacing w:after="240" w:line="276" w:lineRule="auto"/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</w:pPr>
      <w:proofErr w:type="spellStart"/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Cestonaro</w:t>
      </w:r>
      <w:proofErr w:type="spellEnd"/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 xml:space="preserve"> Laurent, Delphine (2021) </w:t>
      </w:r>
      <w:r w:rsidRPr="009A3677">
        <w:rPr>
          <w:rFonts w:ascii="Open Sans" w:hAnsi="Open Sans" w:cs="Open Sans"/>
          <w:i/>
          <w:iCs/>
          <w:color w:val="000000"/>
          <w:kern w:val="0"/>
          <w:szCs w:val="22"/>
          <w:lang w:eastAsia="zh-CN"/>
          <w14:ligatures w14:val="none"/>
        </w:rPr>
        <w:t>Does the use of sentence stems help students invite their peers to make their reasoning explicit?</w:t>
      </w:r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</w:t>
      </w:r>
      <w:hyperlink r:id="rId18" w:tgtFrame="_blank" w:history="1">
        <w:r w:rsidRPr="009A3677">
          <w:rPr>
            <w:rFonts w:ascii="Open Sans" w:hAnsi="Open Sans" w:cs="Open Sans"/>
            <w:color w:val="0000FF"/>
            <w:kern w:val="0"/>
            <w:szCs w:val="22"/>
            <w:u w:val="single"/>
            <w:lang w:eastAsia="zh-CN"/>
            <w14:ligatures w14:val="none"/>
          </w:rPr>
          <w:t>https://hdl.handle.net/20.500.14069/13</w:t>
        </w:r>
      </w:hyperlink>
      <w:r w:rsidRPr="009A3677">
        <w:rPr>
          <w:rFonts w:ascii="Open Sans" w:hAnsi="Open Sans" w:cs="Open Sans"/>
          <w:color w:val="000000"/>
          <w:kern w:val="0"/>
          <w:szCs w:val="22"/>
          <w:lang w:eastAsia="zh-CN"/>
          <w14:ligatures w14:val="none"/>
        </w:rPr>
        <w:t> [United Kingdom]</w:t>
      </w:r>
    </w:p>
    <w:p w14:paraId="777F34A0" w14:textId="1A1490A6" w:rsidR="009A3677" w:rsidRPr="009A3677" w:rsidRDefault="009A3677" w:rsidP="009A3677">
      <w:pPr>
        <w:pStyle w:val="Heading2"/>
        <w:rPr>
          <w:szCs w:val="24"/>
          <w:lang w:eastAsia="zh-CN"/>
        </w:rPr>
      </w:pPr>
      <w:r>
        <w:rPr>
          <w:lang w:eastAsia="zh-CN"/>
        </w:rPr>
        <w:t>TTT in the Camtree Library</w:t>
      </w:r>
    </w:p>
    <w:p w14:paraId="1CDE700B" w14:textId="66ED7385" w:rsidR="009A3677" w:rsidRPr="009A3677" w:rsidRDefault="009A3677" w:rsidP="009A3677">
      <w:pPr>
        <w:spacing w:after="240" w:line="240" w:lineRule="auto"/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</w:pPr>
      <w:hyperlink r:id="rId19" w:tgtFrame="_self" w:history="1">
        <w:r w:rsidRPr="009A3677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>Wang, Ya</w:t>
        </w:r>
        <w:r w:rsidRPr="009A3677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>n</w:t>
        </w:r>
        <w:r w:rsidRPr="00401E11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 xml:space="preserve"> (2025) 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在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小学英语教学中使用质疑技能提升学生的小组合作学习质量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 xml:space="preserve"> The use of questioning skills in primary English teaching improves the quality of students' group cooperative learnin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g</w:t>
        </w:r>
      </w:hyperlink>
    </w:p>
    <w:p w14:paraId="63C191D6" w14:textId="77883E8C" w:rsidR="009A3677" w:rsidRPr="009A3677" w:rsidRDefault="009A3677" w:rsidP="009A3677">
      <w:pPr>
        <w:spacing w:after="240" w:line="240" w:lineRule="auto"/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</w:pPr>
      <w:hyperlink r:id="rId20" w:tgtFrame="_self" w:history="1">
        <w:r w:rsidRPr="009A3677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>W</w:t>
        </w:r>
        <w:r w:rsidRPr="009A3677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>ang, Yan</w:t>
        </w:r>
        <w:r w:rsidRPr="00401E11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 xml:space="preserve"> (</w:t>
        </w:r>
        <w:r w:rsidRPr="00401E11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 xml:space="preserve">2024) 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在小学英语课堂小组讨论活动中提升学生表达技能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 xml:space="preserve"> Developing Expression Skills through Group Discussion in Primary English Classes</w:t>
        </w:r>
      </w:hyperlink>
    </w:p>
    <w:p w14:paraId="44F0B4EE" w14:textId="4C5F7A73" w:rsidR="009A3677" w:rsidRPr="009A3677" w:rsidRDefault="009A3677" w:rsidP="009A3677">
      <w:pPr>
        <w:spacing w:after="240" w:line="240" w:lineRule="auto"/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</w:pPr>
      <w:hyperlink r:id="rId21" w:tgtFrame="_self" w:history="1">
        <w:r w:rsidRPr="00401E11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 xml:space="preserve"> </w:t>
        </w:r>
        <w:r w:rsidRPr="009A3677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 xml:space="preserve">Yang, </w:t>
        </w:r>
        <w:proofErr w:type="spellStart"/>
        <w:r w:rsidRPr="009A3677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>Shuyuan</w:t>
        </w:r>
        <w:proofErr w:type="spellEnd"/>
        <w:r w:rsidRPr="00401E11">
          <w:rPr>
            <w:rFonts w:ascii="Fira Sans" w:hAnsi="Fira Sans"/>
            <w:color w:val="333333"/>
            <w:kern w:val="0"/>
            <w:szCs w:val="22"/>
            <w:shd w:val="clear" w:color="auto" w:fill="FAFBFB"/>
            <w:lang w:eastAsia="zh-CN"/>
            <w14:ligatures w14:val="none"/>
          </w:rPr>
          <w:t xml:space="preserve"> (2025)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小学科学教学中使用关联技能促进学生对概念理解的策略研究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 xml:space="preserve"> A Study of Strategies for Using Associative Skills to Promote Students' Understanding of Concepts in Science Teaching in Primary Schools</w:t>
        </w:r>
      </w:hyperlink>
    </w:p>
    <w:p w14:paraId="06A94A41" w14:textId="530E73DB" w:rsidR="009A3677" w:rsidRPr="009A3677" w:rsidRDefault="009A3677" w:rsidP="009A3677">
      <w:pPr>
        <w:spacing w:after="240" w:line="240" w:lineRule="auto"/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</w:pPr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Zhang, Dong; Zhu, </w:t>
      </w:r>
      <w:proofErr w:type="spellStart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>Cuihua</w:t>
      </w:r>
      <w:proofErr w:type="spellEnd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>; Bo, Kaidi</w:t>
      </w:r>
      <w:r w:rsidRPr="00401E11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 (2025)</w:t>
      </w:r>
      <w:r w:rsidRPr="00401E11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 </w:t>
      </w:r>
      <w:hyperlink r:id="rId22" w:tgtFrame="_self" w:history="1">
        <w:r w:rsidRPr="009A3677">
          <w:rPr>
            <w:rFonts w:ascii="Microsoft YaHei" w:eastAsia="Microsoft YaHei" w:hAnsi="Microsoft YaHei" w:cs="Microsoft YaHei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运用</w:t>
        </w:r>
        <w:r w:rsidRPr="009A3677">
          <w:rPr>
            <w:rFonts w:ascii="Fira Sans" w:hAnsi="Fira Sans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“</w:t>
        </w:r>
        <w:r w:rsidRPr="009A3677">
          <w:rPr>
            <w:rFonts w:ascii="Microsoft YaHei" w:eastAsia="Microsoft YaHei" w:hAnsi="Microsoft YaHei" w:cs="Microsoft YaHei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思维</w:t>
        </w:r>
        <w:r w:rsidRPr="009A3677">
          <w:rPr>
            <w:rFonts w:ascii="Fira Sans" w:hAnsi="Fira Sans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-</w:t>
        </w:r>
        <w:r w:rsidRPr="009A3677">
          <w:rPr>
            <w:rFonts w:ascii="Microsoft YaHei" w:eastAsia="Microsoft YaHei" w:hAnsi="Microsoft YaHei" w:cs="Microsoft YaHei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对话</w:t>
        </w:r>
        <w:r w:rsidRPr="009A3677">
          <w:rPr>
            <w:rFonts w:ascii="Fira Sans" w:hAnsi="Fira Sans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”</w:t>
        </w:r>
        <w:r w:rsidRPr="009A3677">
          <w:rPr>
            <w:rFonts w:ascii="Microsoft YaHei" w:eastAsia="Microsoft YaHei" w:hAnsi="Microsoft YaHei" w:cs="Microsoft YaHei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提高小学生质疑能力的数学课堂教学研究</w:t>
        </w:r>
        <w:r w:rsidRPr="009A3677">
          <w:rPr>
            <w:rFonts w:ascii="Fira Sans" w:hAnsi="Fira Sans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 xml:space="preserve"> Using "thinking-dialogue" to improve the questioning ability of primary school students</w:t>
        </w:r>
      </w:hyperlink>
    </w:p>
    <w:p w14:paraId="5F099CCD" w14:textId="744C7682" w:rsidR="009A3677" w:rsidRPr="009A3677" w:rsidRDefault="009A3677" w:rsidP="009A3677">
      <w:pPr>
        <w:spacing w:after="240" w:line="240" w:lineRule="auto"/>
        <w:rPr>
          <w:rFonts w:ascii="Times New Roman" w:hAnsi="Times New Roman"/>
          <w:kern w:val="0"/>
          <w:szCs w:val="22"/>
          <w:lang w:eastAsia="zh-CN"/>
          <w14:ligatures w14:val="none"/>
        </w:rPr>
      </w:pPr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Li, </w:t>
      </w:r>
      <w:proofErr w:type="spellStart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>Yajun</w:t>
      </w:r>
      <w:proofErr w:type="spellEnd"/>
      <w:r w:rsidRPr="00401E11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 (2025)</w:t>
      </w:r>
      <w:r w:rsidRPr="00401E11">
        <w:rPr>
          <w:rFonts w:ascii="Times New Roman" w:hAnsi="Times New Roman"/>
          <w:kern w:val="0"/>
          <w:szCs w:val="22"/>
          <w:lang w:eastAsia="zh-CN"/>
          <w14:ligatures w14:val="none"/>
        </w:rPr>
        <w:t xml:space="preserve"> </w:t>
      </w:r>
      <w:hyperlink r:id="rId23" w:tgtFrame="_self" w:history="1"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如何在小学语文课堂中运用思维对话技能，培养学生的批判性思维能力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 xml:space="preserve"> How to use thinking and dialogue in primary school Chinese classrooms to cultivate students' critical thinking skills</w:t>
        </w:r>
      </w:hyperlink>
    </w:p>
    <w:p w14:paraId="67BEFE96" w14:textId="50175D9E" w:rsidR="009A3677" w:rsidRPr="009A3677" w:rsidRDefault="009A3677" w:rsidP="009A3677">
      <w:pPr>
        <w:spacing w:after="240" w:line="240" w:lineRule="auto"/>
        <w:rPr>
          <w:rFonts w:ascii="Times New Roman" w:hAnsi="Times New Roman"/>
          <w:kern w:val="0"/>
          <w:szCs w:val="22"/>
          <w:lang w:eastAsia="zh-CN"/>
          <w14:ligatures w14:val="none"/>
        </w:rPr>
      </w:pPr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Xue, </w:t>
      </w:r>
      <w:proofErr w:type="spellStart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>Chunbo</w:t>
      </w:r>
      <w:proofErr w:type="spellEnd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; Zhao, </w:t>
      </w:r>
      <w:proofErr w:type="spellStart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>Puzhuo</w:t>
      </w:r>
      <w:proofErr w:type="spellEnd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>; Li, Mi</w:t>
      </w:r>
      <w:r w:rsidRPr="00401E11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 (2025)</w:t>
      </w:r>
      <w:r w:rsidRPr="00401E11">
        <w:rPr>
          <w:rFonts w:ascii="Times New Roman" w:hAnsi="Times New Roman"/>
          <w:kern w:val="0"/>
          <w:szCs w:val="22"/>
          <w:lang w:eastAsia="zh-CN"/>
          <w14:ligatures w14:val="none"/>
        </w:rPr>
        <w:t xml:space="preserve"> </w:t>
      </w:r>
      <w:hyperlink r:id="rId24" w:tgtFrame="_self" w:history="1">
        <w:r w:rsidRPr="009A3677">
          <w:rPr>
            <w:rFonts w:ascii="Microsoft YaHei" w:eastAsia="Microsoft YaHei" w:hAnsi="Microsoft YaHei" w:cs="Microsoft YaHei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以质疑促进小学生创新意识的发展</w:t>
        </w:r>
        <w:r w:rsidRPr="009A3677">
          <w:rPr>
            <w:rFonts w:ascii="Fira Sans" w:hAnsi="Fira Sans"/>
            <w:color w:val="003958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. Promoting the development of primary school students' sense of innovation through challenging</w:t>
        </w:r>
      </w:hyperlink>
    </w:p>
    <w:p w14:paraId="2C884C30" w14:textId="6E921F7F" w:rsidR="009A3677" w:rsidRPr="009A3677" w:rsidRDefault="009A3677" w:rsidP="009A3677">
      <w:pPr>
        <w:spacing w:after="240" w:line="240" w:lineRule="auto"/>
        <w:rPr>
          <w:rFonts w:ascii="Times New Roman" w:hAnsi="Times New Roman"/>
          <w:kern w:val="0"/>
          <w:szCs w:val="22"/>
          <w:lang w:eastAsia="zh-CN"/>
          <w14:ligatures w14:val="none"/>
        </w:rPr>
      </w:pPr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Jia, Xu; </w:t>
      </w:r>
      <w:proofErr w:type="spellStart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>Yingni</w:t>
      </w:r>
      <w:proofErr w:type="spellEnd"/>
      <w:r w:rsidRPr="009A3677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>, Zhang; Yu, Han</w:t>
      </w:r>
      <w:r w:rsidRPr="00401E11"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  <w:t xml:space="preserve"> (2025)</w:t>
      </w:r>
      <w:r w:rsidRPr="00401E11">
        <w:rPr>
          <w:rFonts w:ascii="Times New Roman" w:hAnsi="Times New Roman"/>
          <w:kern w:val="0"/>
          <w:szCs w:val="22"/>
          <w:lang w:eastAsia="zh-CN"/>
          <w14:ligatures w14:val="none"/>
        </w:rPr>
        <w:t xml:space="preserve"> </w:t>
      </w:r>
      <w:hyperlink r:id="rId25" w:tgtFrame="_self" w:history="1"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“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思维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-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对话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”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的反思技能对小学生科学思维深度培养的实践研究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 xml:space="preserve"> — 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以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 xml:space="preserve"> </w:t>
        </w:r>
        <w:r w:rsidRPr="009A3677">
          <w:rPr>
            <w:rFonts w:ascii="Microsoft YaHei" w:eastAsia="Microsoft YaHei" w:hAnsi="Microsoft YaHei" w:cs="Microsoft YaHei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>《船的研究》为例</w:t>
        </w:r>
        <w:r w:rsidRPr="009A3677">
          <w:rPr>
            <w:rFonts w:ascii="Fira Sans" w:hAnsi="Fira Sans"/>
            <w:color w:val="006AA4"/>
            <w:kern w:val="0"/>
            <w:szCs w:val="22"/>
            <w:u w:val="single"/>
            <w:shd w:val="clear" w:color="auto" w:fill="FAFBFB"/>
            <w:lang w:eastAsia="zh-CN"/>
            <w14:ligatures w14:val="none"/>
          </w:rPr>
          <w:t xml:space="preserve"> A Practical Study of Reflection Skills developed through "Thinking-Dialogue" on the Cultivation of Scientific Thinking of Primary School Students: A Case Study of Ships</w:t>
        </w:r>
      </w:hyperlink>
    </w:p>
    <w:p w14:paraId="09F39575" w14:textId="51F8D3E9" w:rsidR="009A3677" w:rsidRPr="009A3677" w:rsidRDefault="009A3677" w:rsidP="00401E11">
      <w:pPr>
        <w:spacing w:after="240" w:line="240" w:lineRule="auto"/>
        <w:rPr>
          <w:rFonts w:ascii="Fira Sans" w:hAnsi="Fira Sans"/>
          <w:color w:val="333333"/>
          <w:kern w:val="0"/>
          <w:szCs w:val="22"/>
          <w:shd w:val="clear" w:color="auto" w:fill="FAFBFB"/>
          <w:lang w:eastAsia="zh-CN"/>
          <w14:ligatures w14:val="none"/>
        </w:rPr>
      </w:pPr>
      <w:r w:rsidRPr="009A3677">
        <w:rPr>
          <w:rFonts w:ascii="Times New Roman" w:hAnsi="Times New Roman"/>
          <w:kern w:val="0"/>
          <w:szCs w:val="22"/>
          <w:lang w:eastAsia="zh-CN"/>
          <w14:ligatures w14:val="none"/>
        </w:rPr>
        <w:fldChar w:fldCharType="begin"/>
      </w:r>
      <w:r w:rsidRPr="009A3677">
        <w:rPr>
          <w:rFonts w:ascii="Times New Roman" w:hAnsi="Times New Roman"/>
          <w:kern w:val="0"/>
          <w:szCs w:val="22"/>
          <w:lang w:eastAsia="zh-CN"/>
          <w14:ligatures w14:val="none"/>
        </w:rPr>
        <w:instrText>HYPERLINK "https://library.camtree.org/items/3caf96f3-e218-47f0-afed-8835a5874452" \t "_self"</w:instrText>
      </w:r>
      <w:r w:rsidRPr="009A3677">
        <w:rPr>
          <w:rFonts w:ascii="Times New Roman" w:hAnsi="Times New Roman"/>
          <w:kern w:val="0"/>
          <w:szCs w:val="22"/>
          <w:lang w:eastAsia="zh-CN"/>
          <w14:ligatures w14:val="none"/>
        </w:rPr>
      </w:r>
      <w:r w:rsidRPr="009A3677">
        <w:rPr>
          <w:rFonts w:ascii="Times New Roman" w:hAnsi="Times New Roman"/>
          <w:kern w:val="0"/>
          <w:szCs w:val="22"/>
          <w:lang w:eastAsia="zh-CN"/>
          <w14:ligatures w14:val="none"/>
        </w:rPr>
        <w:fldChar w:fldCharType="separate"/>
      </w:r>
      <w:r w:rsidRPr="009A3677">
        <w:rPr>
          <w:rFonts w:ascii="Microsoft YaHei" w:eastAsia="Microsoft YaHei" w:hAnsi="Microsoft YaHei" w:cs="Microsoft YaHei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运用</w:t>
      </w:r>
      <w:r w:rsidRPr="009A3677">
        <w:rPr>
          <w:rFonts w:ascii="Fira Sans" w:hAnsi="Fira Sans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’</w:t>
      </w:r>
      <w:r w:rsidRPr="009A3677">
        <w:rPr>
          <w:rFonts w:ascii="Microsoft YaHei" w:eastAsia="Microsoft YaHei" w:hAnsi="Microsoft YaHei" w:cs="Microsoft YaHei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思考</w:t>
      </w:r>
      <w:r w:rsidRPr="009A3677">
        <w:rPr>
          <w:rFonts w:ascii="Fira Sans" w:hAnsi="Fira Sans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-</w:t>
      </w:r>
      <w:r w:rsidRPr="009A3677">
        <w:rPr>
          <w:rFonts w:ascii="Microsoft YaHei" w:eastAsia="Microsoft YaHei" w:hAnsi="Microsoft YaHei" w:cs="Microsoft YaHei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对话</w:t>
      </w:r>
      <w:r w:rsidRPr="009A3677">
        <w:rPr>
          <w:rFonts w:ascii="Fira Sans" w:hAnsi="Fira Sans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-</w:t>
      </w:r>
      <w:r w:rsidRPr="009A3677">
        <w:rPr>
          <w:rFonts w:ascii="Microsoft YaHei" w:eastAsia="Microsoft YaHei" w:hAnsi="Microsoft YaHei" w:cs="Microsoft YaHei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工具箱</w:t>
      </w:r>
      <w:r w:rsidRPr="009A3677">
        <w:rPr>
          <w:rFonts w:ascii="Fira Sans" w:hAnsi="Fira Sans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’</w:t>
      </w:r>
      <w:r w:rsidRPr="009A3677">
        <w:rPr>
          <w:rFonts w:ascii="Microsoft YaHei" w:eastAsia="Microsoft YaHei" w:hAnsi="Microsoft YaHei" w:cs="Microsoft YaHei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>补充发展技能提高小组合作学习有效性的行动研究</w:t>
      </w:r>
      <w:r w:rsidRPr="009A3677">
        <w:rPr>
          <w:rFonts w:ascii="Fira Sans" w:hAnsi="Fira Sans"/>
          <w:color w:val="006AA4"/>
          <w:kern w:val="0"/>
          <w:szCs w:val="22"/>
          <w:u w:val="single"/>
          <w:shd w:val="clear" w:color="auto" w:fill="FAFBFB"/>
          <w:lang w:eastAsia="zh-CN"/>
          <w14:ligatures w14:val="none"/>
        </w:rPr>
        <w:t xml:space="preserve"> Action research using Think-Talk Toolbox to complement developmental skills and improve the effectiveness of group cooperative learning</w:t>
      </w:r>
      <w:r w:rsidRPr="009A3677">
        <w:rPr>
          <w:rFonts w:ascii="Times New Roman" w:hAnsi="Times New Roman"/>
          <w:kern w:val="0"/>
          <w:szCs w:val="22"/>
          <w:lang w:eastAsia="zh-CN"/>
          <w14:ligatures w14:val="none"/>
        </w:rPr>
        <w:fldChar w:fldCharType="end"/>
      </w:r>
    </w:p>
    <w:p w14:paraId="69BF2294" w14:textId="77777777" w:rsidR="009A3677" w:rsidRPr="009A3677" w:rsidRDefault="009A3677" w:rsidP="009A3677">
      <w:pPr>
        <w:spacing w:line="240" w:lineRule="auto"/>
        <w:rPr>
          <w:rFonts w:ascii="Times New Roman" w:hAnsi="Times New Roman"/>
          <w:kern w:val="0"/>
          <w:sz w:val="24"/>
          <w:lang w:eastAsia="zh-CN"/>
          <w14:ligatures w14:val="none"/>
        </w:rPr>
      </w:pPr>
    </w:p>
    <w:p w14:paraId="0E086ED1" w14:textId="77777777" w:rsidR="009A3677" w:rsidRPr="009A3677" w:rsidRDefault="009A3677" w:rsidP="009A3677">
      <w:pPr>
        <w:spacing w:line="240" w:lineRule="auto"/>
        <w:rPr>
          <w:rFonts w:ascii="Times New Roman" w:hAnsi="Times New Roman"/>
          <w:kern w:val="0"/>
          <w:sz w:val="24"/>
          <w:lang w:eastAsia="zh-CN"/>
          <w14:ligatures w14:val="none"/>
        </w:rPr>
      </w:pPr>
    </w:p>
    <w:p w14:paraId="0ECBE3D4" w14:textId="77777777" w:rsidR="009A3677" w:rsidRPr="009A3677" w:rsidRDefault="009A3677" w:rsidP="009A3677">
      <w:pPr>
        <w:spacing w:line="240" w:lineRule="auto"/>
        <w:rPr>
          <w:rFonts w:ascii="Fira Sans" w:hAnsi="Fira Sans"/>
          <w:color w:val="333333"/>
          <w:kern w:val="0"/>
          <w:sz w:val="24"/>
          <w:shd w:val="clear" w:color="auto" w:fill="FAFBFB"/>
          <w:lang w:eastAsia="zh-CN"/>
          <w14:ligatures w14:val="none"/>
        </w:rPr>
      </w:pPr>
    </w:p>
    <w:p w14:paraId="0D690149" w14:textId="77777777" w:rsidR="009A3677" w:rsidRPr="009A3677" w:rsidRDefault="009A3677" w:rsidP="009A3677"/>
    <w:p w14:paraId="7686BA3E" w14:textId="77777777" w:rsidR="009A3677" w:rsidRDefault="009A3677"/>
    <w:sectPr w:rsidR="009A36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2639" w14:textId="77777777" w:rsidR="00FA62D3" w:rsidRDefault="00FA62D3" w:rsidP="00401E11">
      <w:pPr>
        <w:spacing w:line="240" w:lineRule="auto"/>
      </w:pPr>
      <w:r>
        <w:separator/>
      </w:r>
    </w:p>
  </w:endnote>
  <w:endnote w:type="continuationSeparator" w:id="0">
    <w:p w14:paraId="6D52C198" w14:textId="77777777" w:rsidR="00FA62D3" w:rsidRDefault="00FA62D3" w:rsidP="00401E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B12D" w14:textId="77777777" w:rsidR="00FA62D3" w:rsidRDefault="00FA62D3" w:rsidP="00401E11">
      <w:pPr>
        <w:spacing w:line="240" w:lineRule="auto"/>
      </w:pPr>
      <w:r>
        <w:separator/>
      </w:r>
    </w:p>
  </w:footnote>
  <w:footnote w:type="continuationSeparator" w:id="0">
    <w:p w14:paraId="44E02ADB" w14:textId="77777777" w:rsidR="00FA62D3" w:rsidRDefault="00FA62D3" w:rsidP="00401E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77"/>
    <w:rsid w:val="0000410E"/>
    <w:rsid w:val="00025FCE"/>
    <w:rsid w:val="000264CB"/>
    <w:rsid w:val="00033F4E"/>
    <w:rsid w:val="00035518"/>
    <w:rsid w:val="00035683"/>
    <w:rsid w:val="00047EB9"/>
    <w:rsid w:val="00052B77"/>
    <w:rsid w:val="000774A3"/>
    <w:rsid w:val="00087DB9"/>
    <w:rsid w:val="00093635"/>
    <w:rsid w:val="000D1CEF"/>
    <w:rsid w:val="000F56AA"/>
    <w:rsid w:val="00104398"/>
    <w:rsid w:val="0011601D"/>
    <w:rsid w:val="001229D8"/>
    <w:rsid w:val="00127121"/>
    <w:rsid w:val="00164FF8"/>
    <w:rsid w:val="00173DFF"/>
    <w:rsid w:val="00176011"/>
    <w:rsid w:val="0019127D"/>
    <w:rsid w:val="001D158C"/>
    <w:rsid w:val="001F71FE"/>
    <w:rsid w:val="0020539E"/>
    <w:rsid w:val="00213B98"/>
    <w:rsid w:val="0023422B"/>
    <w:rsid w:val="00240249"/>
    <w:rsid w:val="00253892"/>
    <w:rsid w:val="00272487"/>
    <w:rsid w:val="002767CF"/>
    <w:rsid w:val="00283BD8"/>
    <w:rsid w:val="002D3DC6"/>
    <w:rsid w:val="002D4BD2"/>
    <w:rsid w:val="002E045C"/>
    <w:rsid w:val="002E1C28"/>
    <w:rsid w:val="002E587D"/>
    <w:rsid w:val="002F56A5"/>
    <w:rsid w:val="002F6728"/>
    <w:rsid w:val="00303F4C"/>
    <w:rsid w:val="00317159"/>
    <w:rsid w:val="0033280A"/>
    <w:rsid w:val="00332A19"/>
    <w:rsid w:val="0034185E"/>
    <w:rsid w:val="00342B3C"/>
    <w:rsid w:val="003817F5"/>
    <w:rsid w:val="003C3F3F"/>
    <w:rsid w:val="003D2C5F"/>
    <w:rsid w:val="003E2273"/>
    <w:rsid w:val="003E23AC"/>
    <w:rsid w:val="003E36C3"/>
    <w:rsid w:val="00401E11"/>
    <w:rsid w:val="00414481"/>
    <w:rsid w:val="0045017E"/>
    <w:rsid w:val="00462DDD"/>
    <w:rsid w:val="004964AE"/>
    <w:rsid w:val="004C62A5"/>
    <w:rsid w:val="005315C1"/>
    <w:rsid w:val="00535EB4"/>
    <w:rsid w:val="005548CB"/>
    <w:rsid w:val="00555617"/>
    <w:rsid w:val="0056476A"/>
    <w:rsid w:val="0057695D"/>
    <w:rsid w:val="00580F10"/>
    <w:rsid w:val="00596B98"/>
    <w:rsid w:val="005B01C1"/>
    <w:rsid w:val="005B0E21"/>
    <w:rsid w:val="005D7A4A"/>
    <w:rsid w:val="005F3562"/>
    <w:rsid w:val="006125CA"/>
    <w:rsid w:val="00630949"/>
    <w:rsid w:val="00637DC8"/>
    <w:rsid w:val="00644FA8"/>
    <w:rsid w:val="006523DC"/>
    <w:rsid w:val="00656C54"/>
    <w:rsid w:val="00673FDE"/>
    <w:rsid w:val="006765D0"/>
    <w:rsid w:val="00692450"/>
    <w:rsid w:val="006E5A5C"/>
    <w:rsid w:val="00750C81"/>
    <w:rsid w:val="0075268B"/>
    <w:rsid w:val="007673B2"/>
    <w:rsid w:val="0078492A"/>
    <w:rsid w:val="007C1E21"/>
    <w:rsid w:val="007E081F"/>
    <w:rsid w:val="00844896"/>
    <w:rsid w:val="00853B4F"/>
    <w:rsid w:val="008A38A5"/>
    <w:rsid w:val="008A5A7A"/>
    <w:rsid w:val="008B2AA9"/>
    <w:rsid w:val="008C2545"/>
    <w:rsid w:val="008E427F"/>
    <w:rsid w:val="008E6736"/>
    <w:rsid w:val="008E7661"/>
    <w:rsid w:val="008F3A17"/>
    <w:rsid w:val="009068EF"/>
    <w:rsid w:val="00916EFB"/>
    <w:rsid w:val="00923E03"/>
    <w:rsid w:val="00936C29"/>
    <w:rsid w:val="00943D51"/>
    <w:rsid w:val="00945416"/>
    <w:rsid w:val="00965F80"/>
    <w:rsid w:val="00973530"/>
    <w:rsid w:val="00981DEB"/>
    <w:rsid w:val="00984EF1"/>
    <w:rsid w:val="009A04E9"/>
    <w:rsid w:val="009A2C23"/>
    <w:rsid w:val="009A3677"/>
    <w:rsid w:val="009B6384"/>
    <w:rsid w:val="009D5B25"/>
    <w:rsid w:val="00A015BE"/>
    <w:rsid w:val="00A1610D"/>
    <w:rsid w:val="00A250CA"/>
    <w:rsid w:val="00A347EF"/>
    <w:rsid w:val="00A43F14"/>
    <w:rsid w:val="00A7525F"/>
    <w:rsid w:val="00AE107E"/>
    <w:rsid w:val="00B03146"/>
    <w:rsid w:val="00B04E1F"/>
    <w:rsid w:val="00B04FAF"/>
    <w:rsid w:val="00B052CA"/>
    <w:rsid w:val="00B33465"/>
    <w:rsid w:val="00B5068B"/>
    <w:rsid w:val="00B932CA"/>
    <w:rsid w:val="00B9790A"/>
    <w:rsid w:val="00BD678A"/>
    <w:rsid w:val="00BE178E"/>
    <w:rsid w:val="00BE51C7"/>
    <w:rsid w:val="00C472C1"/>
    <w:rsid w:val="00C54BAE"/>
    <w:rsid w:val="00C839B3"/>
    <w:rsid w:val="00C84D00"/>
    <w:rsid w:val="00C97FB1"/>
    <w:rsid w:val="00CC0A05"/>
    <w:rsid w:val="00CD2B5A"/>
    <w:rsid w:val="00CE5376"/>
    <w:rsid w:val="00CF3677"/>
    <w:rsid w:val="00D266E4"/>
    <w:rsid w:val="00D277CF"/>
    <w:rsid w:val="00D5589E"/>
    <w:rsid w:val="00D624CB"/>
    <w:rsid w:val="00D713BB"/>
    <w:rsid w:val="00D73344"/>
    <w:rsid w:val="00D77697"/>
    <w:rsid w:val="00DA3350"/>
    <w:rsid w:val="00DA723F"/>
    <w:rsid w:val="00DB521B"/>
    <w:rsid w:val="00DB6E4D"/>
    <w:rsid w:val="00DB7034"/>
    <w:rsid w:val="00DD1408"/>
    <w:rsid w:val="00DF7A50"/>
    <w:rsid w:val="00E1268F"/>
    <w:rsid w:val="00E15CE3"/>
    <w:rsid w:val="00E15FA3"/>
    <w:rsid w:val="00E16C1D"/>
    <w:rsid w:val="00E250E5"/>
    <w:rsid w:val="00E25A26"/>
    <w:rsid w:val="00E41829"/>
    <w:rsid w:val="00E425B5"/>
    <w:rsid w:val="00E45F7E"/>
    <w:rsid w:val="00E6149C"/>
    <w:rsid w:val="00E72C54"/>
    <w:rsid w:val="00E82C99"/>
    <w:rsid w:val="00EB6C35"/>
    <w:rsid w:val="00EC62C2"/>
    <w:rsid w:val="00F109AE"/>
    <w:rsid w:val="00F373DC"/>
    <w:rsid w:val="00F6486F"/>
    <w:rsid w:val="00FA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009599"/>
  <w15:chartTrackingRefBased/>
  <w15:docId w15:val="{1EF4780E-B4AD-3A46-BA8C-B197E62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376"/>
    <w:pPr>
      <w:spacing w:line="360" w:lineRule="auto"/>
    </w:pPr>
    <w:rPr>
      <w:rFonts w:asciiTheme="majorHAnsi" w:eastAsia="Times New Roman" w:hAnsiTheme="majorHAnsi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677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677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67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67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67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67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36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A36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677"/>
    <w:rPr>
      <w:rFonts w:eastAsiaTheme="majorEastAsia" w:cstheme="majorBidi"/>
      <w:color w:val="0F4761" w:themeColor="accent1" w:themeShade="BF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677"/>
    <w:rPr>
      <w:rFonts w:eastAsiaTheme="majorEastAsia" w:cstheme="majorBidi"/>
      <w:i/>
      <w:iCs/>
      <w:color w:val="0F4761" w:themeColor="accent1" w:themeShade="BF"/>
      <w:sz w:val="22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677"/>
    <w:rPr>
      <w:rFonts w:eastAsiaTheme="majorEastAsia" w:cstheme="majorBidi"/>
      <w:color w:val="0F4761" w:themeColor="accent1" w:themeShade="BF"/>
      <w:sz w:val="2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677"/>
    <w:rPr>
      <w:rFonts w:eastAsiaTheme="majorEastAsia" w:cstheme="majorBidi"/>
      <w:i/>
      <w:iCs/>
      <w:color w:val="595959" w:themeColor="text1" w:themeTint="A6"/>
      <w:sz w:val="2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677"/>
    <w:rPr>
      <w:rFonts w:eastAsiaTheme="majorEastAsia" w:cstheme="majorBidi"/>
      <w:color w:val="595959" w:themeColor="text1" w:themeTint="A6"/>
      <w:sz w:val="22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677"/>
    <w:rPr>
      <w:rFonts w:eastAsiaTheme="majorEastAsia" w:cstheme="majorBidi"/>
      <w:i/>
      <w:iCs/>
      <w:color w:val="272727" w:themeColor="text1" w:themeTint="D8"/>
      <w:sz w:val="22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677"/>
    <w:rPr>
      <w:rFonts w:eastAsiaTheme="majorEastAsia" w:cstheme="majorBidi"/>
      <w:color w:val="272727" w:themeColor="text1" w:themeTint="D8"/>
      <w:sz w:val="2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3677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367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367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3677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9A36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3677"/>
    <w:rPr>
      <w:rFonts w:asciiTheme="majorHAnsi" w:eastAsia="Times New Roman" w:hAnsiTheme="majorHAnsi" w:cs="Times New Roman"/>
      <w:i/>
      <w:iCs/>
      <w:color w:val="404040" w:themeColor="text1" w:themeTint="BF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9A3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3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3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3677"/>
    <w:rPr>
      <w:rFonts w:asciiTheme="majorHAnsi" w:eastAsia="Times New Roman" w:hAnsiTheme="majorHAnsi" w:cs="Times New Roman"/>
      <w:i/>
      <w:iCs/>
      <w:color w:val="0F4761" w:themeColor="accent1" w:themeShade="BF"/>
      <w:sz w:val="22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9A3677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9A367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A3677"/>
    <w:rPr>
      <w:color w:val="0000FF"/>
      <w:u w:val="single"/>
    </w:rPr>
  </w:style>
  <w:style w:type="character" w:customStyle="1" w:styleId="text-muted">
    <w:name w:val="text-muted"/>
    <w:basedOn w:val="DefaultParagraphFont"/>
    <w:rsid w:val="009A3677"/>
  </w:style>
  <w:style w:type="character" w:customStyle="1" w:styleId="item-list-date">
    <w:name w:val="item-list-date"/>
    <w:basedOn w:val="DefaultParagraphFont"/>
    <w:rsid w:val="009A3677"/>
  </w:style>
  <w:style w:type="character" w:customStyle="1" w:styleId="ng-star-inserted">
    <w:name w:val="ng-star-inserted"/>
    <w:basedOn w:val="DefaultParagraphFont"/>
    <w:rsid w:val="009A3677"/>
  </w:style>
  <w:style w:type="paragraph" w:styleId="Header">
    <w:name w:val="header"/>
    <w:basedOn w:val="Normal"/>
    <w:link w:val="HeaderChar"/>
    <w:uiPriority w:val="99"/>
    <w:unhideWhenUsed/>
    <w:rsid w:val="00401E1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E11"/>
    <w:rPr>
      <w:rFonts w:asciiTheme="majorHAnsi" w:eastAsia="Times New Roman" w:hAnsiTheme="majorHAns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1E1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E11"/>
    <w:rPr>
      <w:rFonts w:asciiTheme="majorHAnsi" w:eastAsia="Times New Roman" w:hAnsiTheme="majorHAnsi" w:cs="Times New Roman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dl.handle.net/20.500.14069/446" TargetMode="External"/><Relationship Id="rId13" Type="http://schemas.openxmlformats.org/officeDocument/2006/relationships/hyperlink" Target="https://hdl.handle.net/20.500.14069/41" TargetMode="External"/><Relationship Id="rId18" Type="http://schemas.openxmlformats.org/officeDocument/2006/relationships/hyperlink" Target="https://hdl.handle.net/20.500.14069/13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ibrary.camtree.org/items/852b4be7-d804-4170-9de0-c9202b171741" TargetMode="External"/><Relationship Id="rId7" Type="http://schemas.openxmlformats.org/officeDocument/2006/relationships/hyperlink" Target="https://hdl.handle.net/20.500.14069/995" TargetMode="External"/><Relationship Id="rId12" Type="http://schemas.openxmlformats.org/officeDocument/2006/relationships/hyperlink" Target="https://hdl.handle.net/20.500.14069/32" TargetMode="External"/><Relationship Id="rId17" Type="http://schemas.openxmlformats.org/officeDocument/2006/relationships/hyperlink" Target="https://hdl.handle.net/20.500.14069/14" TargetMode="External"/><Relationship Id="rId25" Type="http://schemas.openxmlformats.org/officeDocument/2006/relationships/hyperlink" Target="https://library.camtree.org/items/e012638f-fb90-464b-bb2d-5c85f1f645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dl.handle.net/20.500.14069/20" TargetMode="External"/><Relationship Id="rId20" Type="http://schemas.openxmlformats.org/officeDocument/2006/relationships/hyperlink" Target="https://library.camtree.org/items/2fe6f799-6618-4ec1-ac23-3fb80135457c" TargetMode="External"/><Relationship Id="rId1" Type="http://schemas.openxmlformats.org/officeDocument/2006/relationships/styles" Target="styles.xml"/><Relationship Id="rId6" Type="http://schemas.openxmlformats.org/officeDocument/2006/relationships/hyperlink" Target="https://hdl.handle.net/20.500.14069/898" TargetMode="External"/><Relationship Id="rId11" Type="http://schemas.openxmlformats.org/officeDocument/2006/relationships/hyperlink" Target="https://hdl.handle.net/20.500.14069/43" TargetMode="External"/><Relationship Id="rId24" Type="http://schemas.openxmlformats.org/officeDocument/2006/relationships/hyperlink" Target="https://library.camtree.org/items/3df89acd-8119-477a-965f-f1789acb3917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hdl.handle.net/20.500.14069/22" TargetMode="External"/><Relationship Id="rId23" Type="http://schemas.openxmlformats.org/officeDocument/2006/relationships/hyperlink" Target="https://library.camtree.org/items/49dce817-fedc-4273-97e9-cd53460a40d6" TargetMode="External"/><Relationship Id="rId10" Type="http://schemas.openxmlformats.org/officeDocument/2006/relationships/hyperlink" Target="https://hdl.handle.net/20.500.14069/44" TargetMode="External"/><Relationship Id="rId19" Type="http://schemas.openxmlformats.org/officeDocument/2006/relationships/hyperlink" Target="https://library.camtree.org/items/ba77b98a-86e3-44a1-ba3c-57638b43a18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dl.handle.net/20.500.14069/778" TargetMode="External"/><Relationship Id="rId14" Type="http://schemas.openxmlformats.org/officeDocument/2006/relationships/hyperlink" Target="https://hdl.handle.net/20.500.14069/21" TargetMode="External"/><Relationship Id="rId22" Type="http://schemas.openxmlformats.org/officeDocument/2006/relationships/hyperlink" Target="https://library.camtree.org/items/e470edd1-ffa8-4447-81eb-d1aa933d622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Carmichael</dc:creator>
  <cp:keywords/>
  <dc:description/>
  <cp:lastModifiedBy>Patrick Carmichael</cp:lastModifiedBy>
  <cp:revision>1</cp:revision>
  <dcterms:created xsi:type="dcterms:W3CDTF">2025-09-04T13:24:00Z</dcterms:created>
  <dcterms:modified xsi:type="dcterms:W3CDTF">2025-09-04T13:39:00Z</dcterms:modified>
</cp:coreProperties>
</file>